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Investigation des effets de la pression sur les propriétés élastiques des structures cristallines et amorphes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Lahmar Douafer; Souaad/ Universite Badji Mokhter/ Doghmane, Abdellaziz/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paramètres mécanique/ semi-conducteur III-v/ oxydes métallique/ </w:t>
            </w:r>
          </w:p>
        </w:tc>
      </w:tr>
    </w:tbl>
    <w:p>
      <w:pPr>
        <w:pStyle w:val="Heading3"/>
      </w:pPr>
      <w:r>
        <w:t>Résumé :</w:t>
      </w:r>
    </w:p>
    <w:p>
      <w:r>
        <w:t>Dans cette thèse, nous avons étudié les propriétés structurales,  par conséquent, l'effet de lapressionsucertainsparamètres mécaniques de quelques matériaux semi-conducteurs de la classe (III-V) : GaY (Y=N, P, As) et oxydes métalliques XO (X=Ba, Ca, Sr, Mg et Cd)   dans la phase cubique. Pour cela, Nous avons adapté le principe d'un microscope acoustique opérant en mode de réflexion via la simulation théorique SAM. L'investigation des propriétés acoustiques des matériaux soumis à pressions progressives a commencé par  le calcul des coefficients de réflexion R( ) qui était la première étape de la simulation. Ensuite, la détermination des signatures acoustiques V(z) en utilisant le modèle de Sheppard et Wilson, ainsi que leurs traitements via transformé de Fourier rapide, FFT font l'objectif de la deuxième et troisième étape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