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des stratégies d'identification harmoniques  et de commande basées sur les techniques avancées pour les compensateurs actifs des réseaux électriques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Boukadoum; Aziz/ Bahi, Tahar/ </w:t>
            </w:r>
          </w:p>
        </w:tc>
      </w:tr>
      <w:tr>
        <w:trPr>
          <w:trHeight w:val="567"/>
        </w:trPr>
        <w:tc>
          <w:tcPr>
            <w:tcW w:type="dxa" w:w="3000"/>
          </w:tcPr>
          <w:p>
            <w:r>
              <w:t>Nombre de Pages</w:t>
            </w:r>
          </w:p>
        </w:tc>
        <w:tc>
          <w:tcPr>
            <w:tcW w:type="dxa" w:w="7000"/>
          </w:tcPr>
          <w:p>
            <w:r>
              <w:t>142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Docteur 3eme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identification/ commande/ harmonique/ filtres actif/ </w:t>
            </w:r>
          </w:p>
        </w:tc>
      </w:tr>
    </w:tbl>
    <w:p>
      <w:pPr>
        <w:pStyle w:val="Heading3"/>
      </w:pPr>
      <w:r>
        <w:t>Résumé :</w:t>
      </w:r>
    </w:p>
    <w:p>
      <w:r>
        <w:t>L'utilisation des équipements à charges non linéaire, absorbent des courants non sinusoïdaux et consomment de la puissance réactive. Ces équipements contribuent considérablement à la détérioration de  la qualité de l'énergie électrique. Alors, pour remédier à cette situation,  les filtres actifs de puissance sont à ce jour,  les solutions les plus adéquates pour la dépollution  tant au niveau de la production que de la distribution. Les filtres actifs ne sont fiables que si les stratégies d'identification des perturbations sont  efficaces et que la commande des filtres soit performante.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