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propriétés de la masse rocheuse et des roches intactes sur l'excavation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Mouhamed/ Djouama, M.C/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Rippabilité de la roche/ réfraction sismique/ performance du ripper/ </w:t>
            </w:r>
          </w:p>
        </w:tc>
      </w:tr>
    </w:tbl>
    <w:p>
      <w:pPr>
        <w:pStyle w:val="Heading3"/>
      </w:pPr>
      <w:r>
        <w:t>Résumé :</w:t>
      </w:r>
    </w:p>
    <w:p>
      <w:r>
        <w:t>L'efficacité opérationnelle et la performance des machines d'excavation exigent la préparation à l'excavation par la méthode de rippage ou travaux de foration et tir dans les roches dures et les masses rocheuses abrasives. Le type de l'énergie appliquée pour fragmenter la roche et la rendre convenable pour le travail des machines d'excavation fait la différence essentielle entre le tir et le rippage comme un moyen de préparation.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