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génétique, cancer de la thyroïde et environnement.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Guidoum; Mona/ Bouslama,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génétique/ structure familiale/ anthropogénétique/ </w:t>
            </w:r>
          </w:p>
        </w:tc>
      </w:tr>
    </w:tbl>
    <w:p>
      <w:pPr>
        <w:pStyle w:val="Heading3"/>
      </w:pPr>
      <w:r>
        <w:t>Résumé :</w:t>
      </w:r>
    </w:p>
    <w:p>
      <w:r>
        <w:t>La famille est le fondement de toutes les sociétés humaines. L’intérêt d’étudier les modèles familiaux et leurs structures est très ancien, il est d’ordre juridique, socio-économique, démographique, médical et génétique etc... La connaissance des modalités de choix du conjoint permet de distinguer le type de société et sa composition génétique.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