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variabilité climatique et son impact sur les ressources hydriques " cas d'oued Medjerda Nord-Est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Khoualdia; Wacila/ Djebbar, Yassine/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sécheresse/ variabilité pluviométrique/ chaines de markov/ variabilité climatique/ </w:t>
            </w:r>
          </w:p>
        </w:tc>
      </w:tr>
    </w:tbl>
    <w:p>
      <w:pPr>
        <w:pStyle w:val="Heading3"/>
      </w:pPr>
      <w:r>
        <w:t>Résumé :</w:t>
      </w:r>
    </w:p>
    <w:p>
      <w:r>
        <w:t>Le changement climatique des dernières années a produit dans les régions arides à semi arides de l'Algérie, des périodes de sécheresse, qui sont caractérisées par des pluviométries déficitaires, et des écoulements très faibles des principaux oueds des bassins versants. pendant les périodes sèches, les ressources en eau de surface et, par conséquent, les volumes stockés subissent une diminution très nette. Il devient parfois difficile de satisfaire la demande en eau potable, en particulier celle destinée à l'agriculture. Afin de mieux gérer une telle situation, la connaissance des facteurs climatiques et l'étude de son impact sur les ressources en eau est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