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 etude de la stratification architecturale dans les monuments historiques pont el kantara de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Haouacha; Feriel/ Boufenara, khedidja/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monument historique/ stratification/ histoire constructive/ histoire diachronique/ </w:t>
            </w:r>
          </w:p>
        </w:tc>
      </w:tr>
    </w:tbl>
    <w:p>
      <w:pPr>
        <w:pStyle w:val="Heading3"/>
      </w:pPr>
      <w:r>
        <w:t>Résumé :</w:t>
      </w:r>
    </w:p>
    <w:p>
      <w:r>
        <w:t>La réflexion conduite dans le présent travail sur le phénomène de la stratification architecturale découle de la tendance à prendre "la valeur historique" des monuments patrimoniaux détachée de sa continuité chronologique, pour faire référence à une identité jugée emblématique et représentative d'une région et/ou d'un peuple donnés. Un tel positionnement nous engage dans un débat conflictuel quant à la nature même de la dimension historique du patrimoine architectural, et l'objectif conventionnel intergénérationnel visé par son 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