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et interprétation des expressions faciales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Abderrahim/ Ramdani, Messaoud/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détection des visage/ sélection des caractéristique/ entropie/ </w:t>
            </w:r>
          </w:p>
        </w:tc>
      </w:tr>
    </w:tbl>
    <w:p>
      <w:pPr>
        <w:pStyle w:val="Heading3"/>
      </w:pPr>
      <w:r>
        <w:t>Résumé :</w:t>
      </w:r>
    </w:p>
    <w:p>
      <w:r>
        <w:t>La reconnaissance des visages et la reconnaissance de l'expression faciale ont des applications potentielles dans différents aspects de la vie de jour en jour. Un système qui exécute ces opérations trouvera de nombreux domaines d'applications, par exemple : identification des criminels, l'authentification dans les systèmes sécurisés, et récemment en affective feedback avec l'utilisateur axée sur l'usage des médias. La plupart des travaux à ce jour sont basé sur l'identification.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