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des approches de séparation avancée des préoccupations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Otmane rachedi; Soumeya/ Meslati, Djamel/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aspectj, jboss aop/ caesarj, patrons de conception/ métrique logicielle/ </w:t>
            </w:r>
          </w:p>
        </w:tc>
      </w:tr>
    </w:tbl>
    <w:p>
      <w:pPr>
        <w:pStyle w:val="Heading3"/>
      </w:pPr>
      <w:r>
        <w:t>Résumé :</w:t>
      </w:r>
    </w:p>
    <w:p>
      <w:r>
        <w:t>la présente thèse traite un des problèmes importants du génie logiciel qui celui du choix de l’approche de séparation des préoccupations adéquate lors du développement d’un logiciel donné. En effet, l’augmentation de la taille et de la complexité des projets logiciels a favorisé l’apparition de nombreuses approches de séparation des préoccupations, ce qui en soit rend le choix d’une approche donnée difficile. Cette difficulté s’accentue davantage lorsqu’on se rend compte que ces approches sont sophistiquées et apportent de nouveaux concepts et mécanismes qui sont parfois difficiles à maitriser même pour les développeurs expérimentés.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