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pathologies à partir d'IRM cérébrales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Bendib; Mohamed Mokhtar/ Merouani, Hayet farida/ </w:t>
            </w:r>
          </w:p>
        </w:tc>
      </w:tr>
      <w:tr>
        <w:trPr>
          <w:trHeight w:val="567"/>
        </w:trPr>
        <w:tc>
          <w:tcPr>
            <w:tcW w:type="dxa" w:w="3000"/>
          </w:tcPr>
          <w:p>
            <w:r>
              <w:t>Nombre de Pages</w:t>
            </w:r>
          </w:p>
        </w:tc>
        <w:tc>
          <w:tcPr>
            <w:tcW w:type="dxa" w:w="7000"/>
          </w:tcPr>
          <w:p>
            <w:r>
              <w:t>235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detection/ segmentation/ irm cérébrale/ pathologie cérébrale/ interprétation/ </w:t>
            </w:r>
          </w:p>
        </w:tc>
      </w:tr>
    </w:tbl>
    <w:p>
      <w:pPr>
        <w:pStyle w:val="Heading3"/>
      </w:pPr>
      <w:r>
        <w:t>Résumé :</w:t>
      </w:r>
    </w:p>
    <w:p>
      <w:r>
        <w:t>Ces dernières années, l'imagerie médicale et plus précisément cérébrale a connu des progrès extraordinaires. En effet, la multiplication des techniques d'acquisition ainsi que l'amélioration croissante des images produites font de cette discipline un outil primordial dans le contexte clinique (que ce soit pour la mise au point du diagnostic ou pour la prise de décision). Parmi les techniques les plus puissantes, on retrouve l'imagerie par résonance magnétique (IRM). ? ce niveau, la somme des images produites ne fait que s'accroître d'une année à l'autre et la principale manière de les analyser reste l'expertise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