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pouvoir autoepurateur de l' oued seybouse sur les rejets de l'oued seybouse sur les rejets de la laiterie de l'edough annaba algerie et les objectifs environnementaux des rejets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Sayad; Lamine/ Kherici bousnoubria,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oued seybouse/ rejet de lea/ calcul des oer/ boue de laiterie/ </w:t>
            </w:r>
          </w:p>
        </w:tc>
      </w:tr>
    </w:tbl>
    <w:p>
      <w:pPr>
        <w:pStyle w:val="Heading3"/>
      </w:pPr>
      <w:r>
        <w:t>Résumé :</w:t>
      </w:r>
    </w:p>
    <w:p>
      <w:r>
        <w:t>Les milieux aquatiques présentent des vulnérabilités très variées en fonction des usages et des conditions hydrodynamiques. L'apport des effluents en milieu aquatique peut profondément modifier la composition physico-chimique du milieu récepteur.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