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Qualité et gestion intégrée des ressources en eau dans le bassin versant du saf saf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Khelfaoui; Fayçal/ Zouini, Derradji/ Université Badji Mokhtar/ </w:t>
            </w:r>
          </w:p>
        </w:tc>
      </w:tr>
      <w:tr>
        <w:trPr>
          <w:trHeight w:val="567"/>
        </w:trPr>
        <w:tc>
          <w:tcPr>
            <w:tcW w:type="dxa" w:w="3000"/>
          </w:tcPr>
          <w:p>
            <w:r>
              <w:t>Nombre de Pages</w:t>
            </w:r>
          </w:p>
        </w:tc>
        <w:tc>
          <w:tcPr>
            <w:tcW w:type="dxa" w:w="7000"/>
          </w:tcPr>
          <w:p>
            <w:r>
              <w:t>260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pollution/ gestion intégrée/ ressources en eau/ bassin du saf saf/ </w:t>
            </w:r>
          </w:p>
        </w:tc>
      </w:tr>
    </w:tbl>
    <w:p>
      <w:pPr>
        <w:pStyle w:val="Heading3"/>
      </w:pPr>
      <w:r>
        <w:t>Résumé :</w:t>
      </w:r>
    </w:p>
    <w:p>
      <w:r>
        <w:t>Les pressions accrues sur les ressources en eau liées aux changements climatiques et d'usages de l'eau ainsi que les compétitions grandissantes entre usagers sont reconnues comme des enjeux mondiaux. la gestion des ressources en eau est l'un des grands soucis et défis relevés par le bassin du saf-saf. ses ressources en eau sont renouvelables mais limitées, or les besoins ne cessent à croître en importance sous le double effet de la croissance démographique et de l'augmentation des besoins par habitant. ainsi, les milieux sont de plus en plus transformés par l'homme ce qui présente de nombreuses incidences sur l'eau, en quantité comme en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