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Hydrodynamique souterraine et transfert des réservoirs profonds couplage architecture stratigraphique vulnérabilité et risque depollution dans la région de khenchela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Hamed/ Laraba, Abdelaziz/ Université Badji Mokhtar/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souterraine/ stratigraphique/ réserve/ nappes aquifère/ </w:t>
            </w:r>
          </w:p>
        </w:tc>
      </w:tr>
    </w:tbl>
    <w:p>
      <w:pPr>
        <w:pStyle w:val="Heading3"/>
      </w:pPr>
      <w:r>
        <w:t>Résumé :</w:t>
      </w:r>
    </w:p>
    <w:p>
      <w:r>
        <w:t>La région de khenchela est connue par son climat variable aride et semi aride. la connaissance de ses réserves d'eaux est obligatoire car ils sont la source principale pour satisfaire ses besoin en eaux (potable, agricole, industriel) .ces réserves sont généralement stocké dans les nappes aquifères souterraine.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