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au dimensionnement d'un réseau d'assainissement en tenant compte de l'aspect stationnaire et non stationnaire </w:t>
        <w:br/>
        <w:br/>
        <w:t>de l'écoulement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Zeghadnia; Lotfi/ Djemili, Lakhdar/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ecoulement stationnaire/ équation de manning/ réseau d'assainissement/ conduite partiellement remplie/ écoulement non stationnaire/ </w:t>
            </w:r>
          </w:p>
        </w:tc>
      </w:tr>
    </w:tbl>
    <w:p>
      <w:pPr>
        <w:pStyle w:val="Heading3"/>
      </w:pPr>
      <w:r>
        <w:t>Résumé :</w:t>
      </w:r>
    </w:p>
    <w:p>
      <w:r>
        <w:t>Ce travail vise à proposer une approche capable de donner, d'une manière simple et directe, les caractéristiques d'écoulement mieux que ceux des méthodes existantes.   Pour cela on a proposé plusieurs approches.  Le premier est semi-graphique où on présente des équations simplifiées associées à un graphe pour des fins pratiques.  On a aussi proposé une nouvelle méthodologie de design basé sur le concept de rendement volumétrique et de circulation de l'écoulement pour mieux exploiter la conduite et pour améliorer son rendement.  Finalement, on a présenté une nouvelle approche analytique basée sur la référenciassions à une conduite ayant des caractéristiques d'écoulement connus.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