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à l'usure et à la corrosion dans différents milieux, de systèmes  ternaires des nitrures élaborés par pulvérisation cathodiques dual Magnétron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Bouzid; Kheireddine/ Beliardouh, Nasser-Eddine/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usure/ corrosion/ pvd/ cin/ </w:t>
            </w:r>
          </w:p>
        </w:tc>
      </w:tr>
    </w:tbl>
    <w:p>
      <w:pPr>
        <w:pStyle w:val="Heading3"/>
      </w:pPr>
      <w:r>
        <w:t>Résumé :</w:t>
      </w:r>
    </w:p>
    <w:p>
      <w:r>
        <w:t>Le comportement à la corrosion et à l'usure des revêtements durs, utilisés pour la protection des outils d'usinage du bois, ont été étudiés dans ce travail. Les revêtements monocouches et multicouches ont été déposés par pulvérisation cathodique dual magnétron RF. Des tests tribologiques contre des billes en WC, et des tests électrochimiques dans une solution aqueuse de NaCl ont été effectués.</w:t>
        <w:br/>
        <w:br/>
        <w:t>Une première étude a été menée sur  des revêtements en monocouches, binaire (CrN) et ternaires (CrMoN, CrZrN et CrVN). Il a été constaté que le meilleur comportement tribologique a été observé dans le cas du CrN. Ce dernier présente un COF et un taux d'usure assez faible par rapport aux autres.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