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To The Automatic Speech Recognition of Arabic Language And its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Hammami; Nacereddine/ Farah, Nadir/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automatic speech recognition/ arabic speech recognition/ copula for speech recognition/ copula function/ probabilistic classification/ </w:t>
            </w:r>
          </w:p>
        </w:tc>
      </w:tr>
    </w:tbl>
    <w:p>
      <w:pPr>
        <w:pStyle w:val="Heading3"/>
      </w:pPr>
      <w:r>
        <w:t>Résumé :</w:t>
      </w:r>
    </w:p>
    <w:p>
      <w:r>
        <w:t>Automatic speech recognition (ASR) techniques are evolving in manufacturing and public use, in which the techniques of voice recognition have been implemented in many electronic multimedia devices for daily use or in other fields including manufacturing, the military, and medical science. These techniques and their applications are rapidly advancing; automatic speech recognition is becoming one of the most important means of communication between humans and machines.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