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matériaux magnétiques sous champ tournant  dispositif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Rachedi; Mohamed Faouzi/ Diabi, Rabah/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champ magnétique alternatif/ champ magnétique tournant/ caractérisation de l'anisotropie/ champ démagnétisant/ epanouissement des lignes d'induction pertes électroniques (pertes fer)/ bobines de détection de l'induction/ </w:t>
            </w:r>
          </w:p>
        </w:tc>
      </w:tr>
    </w:tbl>
    <w:p>
      <w:pPr>
        <w:pStyle w:val="Heading3"/>
      </w:pPr>
      <w:r>
        <w:t>Résumé :</w:t>
      </w:r>
    </w:p>
    <w:p>
      <w:r>
        <w:t>La prédétermination des pertes électromagnétiques dans les dispositifs électromécaniques est rendue difficile par la préssence simultanée de champs magnétiques alternatifs et de champs tournants dans différentes régions du circuit magnetiques. de plus , dans d'autres endroits du circuit, les tôles qui les composent sont soumises à des champs de direction fixe, déterminer les pertes électromagnétiques dans des tôles soumise à un champ tournant ,mais aussi, lorsqu'elles sont soumises à un champ alternatif appliqué dans le sens longitudinal ou dans le sens transversal.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