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MLI Vectorielle aux onduleurs multi-niveaux à base de GTO et d'IGBT.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Benzemamouche; Houria/ University badji mokhtar/ Yousfi  Ali/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bibliogr.p.p.132-136. -Résumé: enarab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puissance/ vitesse variable/ onduleurs/ </w:t>
            </w:r>
          </w:p>
        </w:tc>
      </w:tr>
    </w:tbl>
    <w:p>
      <w:pPr>
        <w:pStyle w:val="Heading3"/>
      </w:pPr>
      <w:r>
        <w:t>Résumé :</w:t>
      </w:r>
    </w:p>
    <w:p>
      <w:r>
        <w:t>L'évolution dans la fabrication des semi-conducteurs de puissance font le compromis entre la fréquence de coupure et la puissance, ainsi les nouvelles techniques de commandes des onduleurs, ont permis de dévlopper de nouvelles structures d'onduleurs d'une grande performance par rapport aux onduleurs conventionnels. Ces onduleurs d'une grande aux applications qui nécessitent une puissance élevée, permettent de mieux générer l'environnement des entrainements à vitesse variable.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