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Recherche des paramètres primaires des lignes aériennes du réseau de transport d'énergie électrique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Chouchane; Tahar/ Boudjema, Bouzid/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Bibliogr.p.p.187-188.</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énergie électrique./ Réseau de transport électrique/ fiabilité/ contraintes climatiques/ </w:t>
            </w:r>
          </w:p>
        </w:tc>
      </w:tr>
    </w:tbl>
    <w:p>
      <w:pPr>
        <w:pStyle w:val="Heading3"/>
      </w:pPr>
      <w:r>
        <w:t>Résumé :</w:t>
      </w:r>
    </w:p>
    <w:p>
      <w:r>
        <w:t>Afin d'assurer au réseau de transport électrique une fibilité et undéveloppement, qui  conduit au minimum d'encombrement et de dépenses ,il faut naturellement élever la capacité de transport d'énergie électrique. Pour répondre à cette condition, on doit tenir compte des diverses contraites climatiques, ainsi que de la construction des lignes aériennes. L'évolution actuelle se dirige vers l'emploi de conducteurs en faisceaux et la recherche de nouveaux materiaux qui les constituent. Parmi les avantages de la multiplication du nombre de conducteurs en faisceaux.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