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effets d'interconnexion entre un generateur et un système électrique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Boudefel; Amar/ Banaya, K./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stabilité statique/ variation de la puissance réactive/ f.e.m de la machine./ </w:t>
            </w:r>
          </w:p>
        </w:tc>
      </w:tr>
    </w:tbl>
    <w:p>
      <w:pPr>
        <w:pStyle w:val="Heading3"/>
      </w:pPr>
      <w:r>
        <w:t>Résumé :</w:t>
      </w:r>
    </w:p>
    <w:p>
      <w:r>
        <w:t>Cette étude nous à permis de conclure que: Pour un réseau donné la limite de la stabilité statique est caractérisé par la puissance maximale transmissible, plus cette dernière est grande plus la perte de la  stabilité statique (sortie du synchronisme du générateur) est faible et inversement.  Plusieurs paramètres peuvent influer sur cette puissance et donc sur la stabilité  statique; on a vue que:  La présence des régulateurs d 'excitation au niveau du générateur à un effet  positif sur la stabilité statique.  La variation de la charge ainsi que la variation de la puissance réactive  transitée influent sur la stabilité statique.  Le niveau de la tension du système ainsi que la réactance sommaire de liaison  sont des paramètres déterminants de la stabilité statique.  Le temps limite de débranchement du défaut est un paramètre très important  caractérisant la stabilité dynamique .  La présence du réglage forcée de Fexcitation pendant une perturbation  dynamique due au court-circuit permet de relever la F.e.m de la machine en diminuant  son degré d'amortissement par rapport au cas de son absence, en maintenant ainsi ,  ces conditions de stabilité jusqu'au débranchement du défaut.  Le degré d'influence du forçage augmente avec l'augmentation de la valeur  forcée établie de la F-.e.m d'excitation et avec la diminution de la constante de temps  correspondante.  En choisissant convenablement ces deux paramètres on peut maintenir la F.e.m  de la machine pratiquement constante pendant le court-circuit.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