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la gamme  de vitesse du moteur synchrone à vitesse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Bouchahed; Adel/ Belhamra, Ali/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 synchrone à aimant permanent / onduleur de tension à mli/ commande de la vitesse/ </w:t>
            </w:r>
          </w:p>
        </w:tc>
      </w:tr>
    </w:tbl>
    <w:p>
      <w:pPr>
        <w:pStyle w:val="Heading3"/>
      </w:pPr>
      <w:r>
        <w:t>Résumé :</w:t>
      </w:r>
    </w:p>
    <w:p>
      <w:r>
        <w:t>Pour les applications à vitesse variable, la machine synchrone pilotée en boucle ouverte de vitesse présente un comportement très instable. une variation brutale de la charge crée des oscillations de couple et de vitesse très importantes. dans ce mémoire, une nouvelle technique nous permet le contrôle de la vitesse et du couple d'une machine synchrone à aimant permanent en utilisant un onduleur de tension à modulation de largeur d'impulsion. pour la commande vectorielle on utilise des régulateurs proportionnels et intégrales, quant à la commande non linéaire on utilise des régulateurs non linéaires, les deux types de commande présentent de bonnes performances dynamiques avec une commande simple, robuste et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