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compensation transversale pour une interconnexion à grande distance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Benchelli; Youcef/ Bounaya, K./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bibliogr.p.1.Résumé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institutions socioéconomiques et industrielles/ tributaires des processus de compensation de la puissance réactive./ </w:t>
            </w:r>
          </w:p>
        </w:tc>
      </w:tr>
    </w:tbl>
    <w:p>
      <w:pPr>
        <w:pStyle w:val="Heading3"/>
      </w:pPr>
      <w:r>
        <w:t>Résumé :</w:t>
      </w:r>
    </w:p>
    <w:p>
      <w:r>
        <w:t>Toutes les institutions socioéconomiques et industrielles nécessitent de l’énergie électrique. Ce travail est réalisé dans ce but général et consiste en l’étude et la détermination des conditions de transport pour atteindre une meilleur qualité de l’énergie. Les caractéristiques et les contraintes du transport sont fonction de la valeur des puissances de charge, de sa variation et de la portée de son transfert. Il découle, après étude et analyse que les indices d’une bonne qualité de l’énergie transférée sont fortement très tributaires des processus de compensation de la puissance réactive.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