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décharges d'encoches sur le revêtement semi conducteur des barres dans les alternateurs à haute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Belizidia; Nadia/ Haddouche, A/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grandes machines tournantes/ plan économique/ appareils de surveillance/ décharges d'encoche / </w:t>
            </w:r>
          </w:p>
        </w:tc>
      </w:tr>
    </w:tbl>
    <w:p>
      <w:pPr>
        <w:pStyle w:val="Heading3"/>
      </w:pPr>
      <w:r>
        <w:t>Résumé :</w:t>
      </w:r>
    </w:p>
    <w:p>
      <w:r>
        <w:t>Les grandes machines tournantes sont principalement utilisées pour produire de l'électricité. on demande aux alternateurs une grande disponibilité. tout arrêt accidentel de la production représente un dommage important sur le plan économique. c'est pourquoi les alternateurs qui constituent une des composantes principales des centrales doivent présenter un haut niveau de fiabilité.  pour répondre à ces besoins, les appareils de surveillance et de mesure se sont multipliés dans le but de détecter les prémices d'un défaut. cette détection n'implique pas, en général, l'arrêt de la tranche mais une surveillance accrue ou un contrôle et éventuellement un remplacement de l'organe défaillant pendant une période programmée de maintenance. c'est dans cette optique que cette étude a été faite, à la suite des défauts importants attribués aux décharges partielles ou aux décharges d'encoches dans les alternateurs. il nous a semblé judicieux de revenir à l'origine du phénomène, c'est-à-dire de mettre en lumière les caractéristiques des décharges d'encoche et d'étudier les paramètres qui les influencent.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