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en modulation de largeur d'impulsions d'une machine asynchrone triphasee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Bahi; Tahar/ Debbache, Nasr-eddine/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moteur asynchrone/ onduleur de tension/ machine asynchrone./ performances dynamiques/ </w:t>
            </w:r>
          </w:p>
        </w:tc>
      </w:tr>
    </w:tbl>
    <w:p>
      <w:pPr>
        <w:pStyle w:val="Heading3"/>
      </w:pPr>
      <w:r>
        <w:t>Résumé :</w:t>
      </w:r>
    </w:p>
    <w:p>
      <w:r>
        <w:t>Le moteur asynchrone associé à un onduleur de tension commandé en Modulation de  Largeur d'Impulsion (Pulse Width Modulation) demeure un intérêt sollicité en priorité par les  chercheurs en vu d'améliorer les performances dynamiques des entraînements électriques à   vitesse variable.  Les entraînements à vitesse variable restent en quête pour assurer au mieux le découplage  recherché par la commande vectorielle entre le flux et le couple de la machine asynchrone  malgré ses inévitables variations paramétriques .  Les stratégies de commande de l'onduleur ainsi que les types de réglage usés dans ce domaine  nécessite un compromis selon les exigences et les spécificités de l'installation. D'où notre  apport, en traitant les combinaisons des différentes techniques recommandées à travers la  bibliographie spécialisée. Alors, une validation par l'outil de simulation numérique visant à  ressortir des orientations objectifs du choix d'utilisation a été réalisée.  Une étude comparative des performances des commandes de l'onduleur et des réglages de  vitesse sont traités.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