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de la protection des centrales électriques et des sous-stations contre les surtensions atmosphériques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Adjabi; Mohamed/ Arabi, MS./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protection/ surtentions atmosphériques/ zônes foudroyées/ surtentions atmosphériques./ </w:t>
            </w:r>
          </w:p>
        </w:tc>
      </w:tr>
    </w:tbl>
    <w:p>
      <w:pPr>
        <w:pStyle w:val="Heading3"/>
      </w:pPr>
      <w:r>
        <w:t>Résumé :</w:t>
      </w:r>
    </w:p>
    <w:p>
      <w:r>
        <w:t>En terminant ce mémoire, nous souhaitons au vue des résultats  obtenus, rappeler le contenu de cet étude et en préciser les  applications, en soulignant son originalité par rapport à celui  de nos prédécesseurs.  La protéction contre les surtentions atmosphériques dans les  zônes foudroyées nécessitent une analyse particulière et  convergente dans ces points, les recherches réalisées jusqu'à  nos jours dans ce domaine demeurant encore valables,  relativement à 1'endroit de protéction.  , En analysant dans un premier cas les paramètres du poste  considéré, nous avons proposé des recommandations théoriques et  pratiques, pour réduire le nombre de déclenchement du poste  contre les surtentions atmosphériques tel que :  - une nouvelle conception de pylône métallique avec paratonnerre  à tige.  - Utilisation des fondations en béton armé comme mode de mise à  la terre.  _ détermination des probabilités de contournement de  l'isolation, selon les cas analysés.  - détermination du nombre de déclenchements des variantes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