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des techniques de commandes intelligentes pour le controle d une machine asynchrone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Ghers; Fethi/ Debbache, Nasr eddine/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bibliogr.f.f.1-3.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réseaux de neurones/ machines asynchrone/ régulateur conventionne./ </w:t>
            </w:r>
          </w:p>
        </w:tc>
      </w:tr>
    </w:tbl>
    <w:p>
      <w:pPr>
        <w:pStyle w:val="Heading3"/>
      </w:pPr>
      <w:r>
        <w:t>Résumé :</w:t>
      </w:r>
    </w:p>
    <w:p>
      <w:r>
        <w:t>Le domaine de la variation de vitesse des machines asynchrones s'est développé d'une manière spectaculaire lors des dernières années. Par conséquent, le recours au développement des techniques intelligentes  à susciter un intérêt de plus en plus croissant, dans l'industrie, afin de satisfaire des cahiers des charges  de plus en plus sévères. Outre les stratégie de commandes conventionnelles (PI, PID), d'autres approches appliquées à la commande des machines asynchrones sont également envisageables : il s'agit de la commande par logique floue et par réseaux de neurones. Le travail présenté  dans ce mémoire consiste en la mise au point de ces deux approches intelligentes et à analyser leur performance par rapport au régulateur conventionnel. Tous ces régulateurs de vitesse sont implantés en utilisant la méthode du flux orienté. Les résultats de simulation obtenus sons montrent et interpréter. Nous remarquons que les deux approches présentent une robustesse par rapport aux variations paramétriques de la machine et vis-à-vis des perturbations introduites par le couple résistant.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