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stabilité dynamique des machines synchrones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Ouari; Ahmed/ Roukhvaze M/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bibliogr.p.p.1-2.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température critique/ machine dynamique./ </w:t>
            </w:r>
          </w:p>
        </w:tc>
      </w:tr>
    </w:tbl>
    <w:p>
      <w:pPr>
        <w:pStyle w:val="Heading3"/>
      </w:pPr>
      <w:r>
        <w:t>Résumé :</w:t>
      </w:r>
    </w:p>
    <w:p>
      <w:r>
        <w:t>La découverte des supraconducteurs à haute température critique permet d'envisager une grande diversité d'applications allant de l'électronique à courant faibles aux machines électriques et au transport de l'énergie électrique. Néanmoins, malgré de moindres contraintes cryogéniques, cette expansion est freinée en raison de difficultés technologiques de réalisations de jonctions idéales. L'analyse de l'applicabilité des matériaux supraconducteurs dans des applications spécifiques à la commande des machines électriques est d'un intérêt certain.  Les propriétés des matériaux supraconducteurs sous forme de films minces sont très supérieures à celles obtenues sur les matériaux massifs. L'é1aboration de multicouches présente un grand intérêt sur le plan fondamental. L'empilement de couches d'épaisseur variable permet, en modifiant le couplage entre les couches supraconductrices, d'obtenir des informations sur les mécanismes de la supraconductivité. Cependant il est nécessaire de conserver une croissance épitaxiale à travers toute la multicouche, la phase isolante doit pouvoir s'épitaxier sur le supraconducteur.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