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d'un mini alternateur excité par un flux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Mekki; Mounira/ Labar  Hocine/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bibliogr.f.f.80-82.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tension nominale du réseau électrique/ charge non linéaire./ l’harmonique et de déséquilibre des courant/ </w:t>
            </w:r>
          </w:p>
        </w:tc>
      </w:tr>
    </w:tbl>
    <w:p>
      <w:pPr>
        <w:pStyle w:val="Heading3"/>
      </w:pPr>
      <w:r>
        <w:t>Résumé :</w:t>
      </w:r>
    </w:p>
    <w:p>
      <w:r>
        <w:t>L’utilisation croissante dans l’industrie de systèmes commandés à base d’électronique de Puissance entraîne de plus en plus de problèmes de perturbation au niveau des réseaux électriques. Ainsi, l’on assiste à une augmentation régulière, induite par les utilisateurs, des taux d’harmonique et de déséquilibre des courants, et une importante consommation de la</w:t>
        <w:br/>
        <w:br/>
        <w:t>puissance réactive. La circulation de ces mêmes courants perturbés va également provoquer des harmoniques et des déséquilibres de tension, lesquels vont se superposer à la tension nominale du réseau électrique. Le travail réalisé analyse, du point de vue théorique et expérimental, l’étude des mécanismes de propagation des harmoniques et la détérioration de la qualité d’énergie électrique délivrée. La recommandation que nous préconisons concerne le mode de contrôle d’une centrale auxiliaire de soutirage dont le site d’étude de l’Usine El Hadjar est équipé et d’une métrologie compatible avec le régime de charge industrielle , ainsi qu’une prise en charge de la part des puissances que les harmoniques consomment afin de mieux gérer la compensation pénalisée par le fournisseur en cas de dépassement. La réalisation expérimentale a révélé plusieurs interactions entre le réseau –la source –la nature et l’importance de la charge non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