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Amiloration des parametres du filtre actif par l'utilisation d'un regulateur à logique flou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Hamiche; Larbi/ Herous, L/ Université Badji Mokhtar/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distorsion harmonique/ compensation des harmoniques/ logique floue/ </w:t>
            </w:r>
          </w:p>
        </w:tc>
      </w:tr>
    </w:tbl>
    <w:p>
      <w:pPr>
        <w:pStyle w:val="Heading3"/>
      </w:pPr>
      <w:r>
        <w:t>Résumé :</w:t>
      </w:r>
    </w:p>
    <w:p>
      <w:r>
        <w:t>Ce travail s'intéresse à la compensation des harmoniques et l'amélioration de la qualité du courant de la source lors de l'utilisation des charges non linéaires, aujourd'hui l'utilisation des filtres actifs parallèles  et la régulation de leurs paramètres jouent un rôle très important dans la qualité du filtrage. habituellement, les régulateurs utilisés sont de types classiques tels que p, pi, pid qui nécessitent un ajustement à partir de la réponse temporelle et une identification des paramètres du système caractérisant une réponse de bonne qualité, d'où, un calcul assez compliqué à effectuer. l'utilisation de la logique floue permet non seulement de faciliter l'ajustement des régulateurs mais aussi d'obtenir une bonne qualité de la réponse du filtrage. les résultats obtenus par simulation ont montrés après l'utilisation de la logique floue comme un régulateur une amélioration des performances de ce filtre avec un taux de distorsion harmonique (thd) calculé après le filtrage égale à 0.9%, finalement, nous disposons d'un filtre qui s'adapte parfaitement aux variations de la 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