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modelisation et à la commande des actionneurs electriques (aspect continu et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Feraga; Chams-eddine/ Yousfi  Ali/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bibliogr.f.f.102-104.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actionneurs électrique/ convertisseur alternatif-continu/ structures classique/ 'onduleur de tension./ </w:t>
            </w:r>
          </w:p>
        </w:tc>
      </w:tr>
    </w:tbl>
    <w:p>
      <w:pPr>
        <w:pStyle w:val="Heading3"/>
      </w:pPr>
      <w:r>
        <w:t>Résumé :</w:t>
      </w:r>
    </w:p>
    <w:p>
      <w:r>
        <w:t>La présente étude a pour objectif le développement d'une stratégie de commande des actionneurs électriques capable de fournir des réponses en couple électromagnétique de grande dynamique. Dans la stratégie de commande de la machine à courant continu à excitation séparée, l'alimentation est assurée par un convertisseur alternatif-continu à modulation de largeur d'impulsion et un inverseur statique permettant le fonctionnement dans les quatre quadrants. Cette configuration mène à une amélioration considérable par rapport aux structures classiques, en associant une dynamique très importante sur le  ; . La commande directe du couple de la machine asynchrone permet d'égaler les performances de la machine à courant continu. En effet, par choix dans une table de commutation des vecteurs de sortie de l'onduleur de tension, elle impose directement les états des interrupteurs de puissance en fonction de l'état électromagnétique de la machine. Dans ce contexte, deux strategies de commande DTC sont traitées dans le cadre de ce travail. La première consiste à n’utiliser que des séquences actives dans la table de vérité, elle souffre des pertes par commutation. La seconde utilise les huit vecteurs de tension de l’onduleur (six actifs et deux nuls) et considère une entrée additionnelle: le signe de l’évolution du couple électromagnétique, elle améliore les performances du variateur. Les résultats de simulations obtenus montrent de bonnes performances statiques et dynamiques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