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comparative de la commande vectorielle directe d une machine asynchrone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Mesbahi; Nadhir/ Debbache, N.E./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bibliogr.f.f.1-3. Résumé en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takahashi en 1985/ orientation du flux (foc)/ </w:t>
            </w:r>
          </w:p>
        </w:tc>
      </w:tr>
    </w:tbl>
    <w:p>
      <w:pPr>
        <w:pStyle w:val="Heading3"/>
      </w:pPr>
      <w:r>
        <w:t>Résumé :</w:t>
      </w:r>
    </w:p>
    <w:p>
      <w:r>
        <w:t>Les progrès récemment réalisés dans les domaines de l’électronique de puissance et des calculateurs en temps réel ont permis depuis peu l’essor des variateurs de vitesse pour les machines à courant alternatif. Le moteur asynchrone, grâce à sa robustesse, son faible coût et sa simple construction s’impose de plus en plus dans le domaine des entraînements à vitesse variable. Nous présentons dans ce mémoire la technique de commande dite : DTC (commande directe</w:t>
        <w:br/>
        <w:br/>
        <w:t>du couple) d’une machine à induction. Cette stratégie de commande proposée par Takahashi en 1985 pour concurrencer la méthode de commande par orientation du flux (FOC). Les résultats de simulation démontrent la validité de cette stratégie.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