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Applicateur 27 Mhz  à epaulement et application en hyperthermie anticancereuse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Guendouz; Laoués/ Universite de nancy/ Robert, G./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Nancy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Guide à moulure/ fréquence de coupure/ impédance caractéristique/ hyperthermie anticancéreuse à 27 Mhz./ </w:t>
            </w:r>
          </w:p>
        </w:tc>
      </w:tr>
    </w:tbl>
    <w:p>
      <w:pPr>
        <w:pStyle w:val="Heading3"/>
      </w:pPr>
      <w:r>
        <w:t>Résumé :</w:t>
      </w:r>
    </w:p>
    <w:p>
      <w:r>
        <w:t>Dans un cadre générale , sont définies les meilleures conditions de fonctionnement des guides à moulure à savoir l'abaissement maximal du mode parasite TE 30 par rapport au guide rectangulaire de même enconbrement. Des formulations approchées des fréquences de coupure des modes TEmo (m=1,2,3) sont proposées et s'avèrent trés satistisfaisantes dans un large domaine pratique .Une nouvelle formulation simple de l'impédance caractéristique de ces guides est avancée.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