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commande et de reglage des machines asynchrones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Lalalou; Rachid/ Debbache  Nasr Eddine/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bibliogr.p.p.105-107.Résumé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la commande vectorielle/ flux/ la robustesse de la machines/ </w:t>
            </w:r>
          </w:p>
        </w:tc>
      </w:tr>
    </w:tbl>
    <w:p>
      <w:pPr>
        <w:pStyle w:val="Heading3"/>
      </w:pPr>
      <w:r>
        <w:t>Résumé :</w:t>
      </w:r>
    </w:p>
    <w:p>
      <w:r>
        <w:t>Dans le cas de la commande vectorielle par orientation du flux rotorique , les paramètres de la machine intervient dans le modèle mathématique du découplage entre le flux principal et le couple électromagnétique. Dans ce travail nous proposons une étude sur l'adaptation des paramètres de commande et la robustesse de la machine asynchrone commandée par la technique du flux orienté.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