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rubans ferromagnétiques fe-si obtenus par trempe rapide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Mohamed Faouzi/ Université de paris/ Diabi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bibliogr.p.p.113-115. -Résumé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 alternatif/ champ magnétique tournant/ caractérisation de l'anisotropie/ champ démagnétisant/ Epanouissement des lignes d'induction/ pertes électromagnétiques (pertes fer)/ Bobines de détection de l'induction./ </w:t>
            </w:r>
          </w:p>
        </w:tc>
      </w:tr>
    </w:tbl>
    <w:p>
      <w:pPr>
        <w:pStyle w:val="Heading3"/>
      </w:pPr>
      <w:r>
        <w:t>Résumé :</w:t>
      </w:r>
    </w:p>
    <w:p>
      <w:r>
        <w:t>La prédétermination des pertes életromagnétiques dans les dipositifs életromécaniques est rendue difficile par la présence simultanée de champs magnétiques alternatifs et de champs tournants dans différentes régions du circuit magnétiques.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