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Minimisation des pertes d'énergie des moteurs asynchrones à cage par le réglage fréquentiel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Haouari; Kamel/ Grassevitch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bibliogr.p.p.104-106.Résumé en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réglage fréquentiel/ variation simultanée/ caractéristique mécanique/ </w:t>
            </w:r>
          </w:p>
        </w:tc>
      </w:tr>
    </w:tbl>
    <w:p>
      <w:pPr>
        <w:pStyle w:val="Heading3"/>
      </w:pPr>
      <w:r>
        <w:t>Résumé :</w:t>
      </w:r>
    </w:p>
    <w:p>
      <w:r>
        <w:t>Quand on utilise le réglage fréquentiel les pertes d'énergie n'existe pratiquement pas, puisqu'en réalité le réglage de la vitesse s'effectue à vide. La vitesse de fonetionnement est déterminée par la rigidité de la caractéristique mécanique qui ne varie pas pratiquement pendant le réglage fréquentiel.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