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calcul et d'amélioration de la commutation des machines électriques à collecteur à courant continu à large gamme de réglage de la vitesse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Traiaia; Abdellah/ Trochine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bibliogr.p.p.128-132.Résumé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machines/ construction des machines à courant/ des indices énergétiques et économiques/ </w:t>
            </w:r>
          </w:p>
        </w:tc>
      </w:tr>
    </w:tbl>
    <w:p>
      <w:pPr>
        <w:pStyle w:val="Heading3"/>
      </w:pPr>
      <w:r>
        <w:t>Résumé :</w:t>
      </w:r>
    </w:p>
    <w:p>
      <w:r>
        <w:t>La construction des machines à courant continu adhère aux éxigences actuelles qui demandet une meilleure performance des indices énergétiques et économiques.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