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compensation de l'énergie réactive absorbée par une cascade hyposynchrone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Soltani; Fatma/ Grassevitch .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bibliogr.p.p.126-127.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 alternatif/ systèmmes de commande/ des cascades hyposynchrones/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mis en évidence l'importance des système de commande à courant alternatif, notammentvdes cascades hyposynchrones parallèlement à l'utilisation des systèmes d'entrainement à coutant continu.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