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Détermination de la fréquence adéquate de découpage permettant d'assurer une meilleure atténuation des harmoniques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Zahzouh; Zoubir/ Saad, S/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Electronic de puissance/ filtre actif/ harmoniques/ stratigie de commande mli/ </w:t>
            </w:r>
          </w:p>
        </w:tc>
      </w:tr>
    </w:tbl>
    <w:p>
      <w:pPr>
        <w:pStyle w:val="Heading3"/>
      </w:pPr>
      <w:r>
        <w:t>Résumé :</w:t>
      </w:r>
    </w:p>
    <w:p>
      <w:r>
        <w:t>Ce memoire présente l'étude d'un filtre actif parallèle utilisé comme moyen de réduction des harmoniques de courant générées par un redresseur triphasé non commandé.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