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Compensateur actifs des reseaux electriques basse tension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Guendouz; Halim/ Université Badji Mokhtar/ Benretem, A Wahab/ </w:t>
            </w:r>
          </w:p>
        </w:tc>
      </w:tr>
      <w:tr>
        <w:trPr>
          <w:trHeight w:val="567"/>
        </w:trPr>
        <w:tc>
          <w:tcPr>
            <w:tcW w:type="dxa" w:w="3000"/>
          </w:tcPr>
          <w:p>
            <w:r>
              <w:t>Nombre de Pages</w:t>
            </w:r>
          </w:p>
        </w:tc>
        <w:tc>
          <w:tcPr>
            <w:tcW w:type="dxa" w:w="7000"/>
          </w:tcPr>
          <w:p>
            <w:r>
              <w:t>79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distorsion harmonique/ compensation des harmoniques/ variations de la charge/ </w:t>
            </w:r>
          </w:p>
        </w:tc>
      </w:tr>
    </w:tbl>
    <w:p>
      <w:pPr>
        <w:pStyle w:val="Heading3"/>
      </w:pPr>
      <w:r>
        <w:t>Résumé :</w:t>
      </w:r>
    </w:p>
    <w:p>
      <w:r>
        <w:t>Ce travail s'intéresse à la compensation des harmoniques et de la puissance réactive par le filtre actif parallèle. ce filtre est un onduleur de tension à mli destiné à éliminer les harmoniques de courant et compenser la puissance réactive consommée par l'utilisation d'un pont redresseur triphasé commandé (charge non linéaire).  pour assurer une bonne compensation le filtre doit s'adapter  aux variations de la charge, deux schémas de régulation à base du régulateur p sont proposés, l'un pour la tension continue et l'autre pour le courant injecté.   les résultats obtenus par simulation ont montrés une amélioration des performances de ce filtre.  le taux de distorsion harmonique (thd) calculé après filtrage est inférieur à 5%, le filtre s'adapte parfaitement  aux variations de la charge et le courant et la tension de la source sont en phase.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