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des éffets dynamique de non sinusoidalité dans un noeud de charge par processus de compensation réactive statique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Labar  Hocine/ Bounaya  K/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surtension/ batteries de condensateur/ compensation réactives/ </w:t>
            </w:r>
          </w:p>
        </w:tc>
      </w:tr>
    </w:tbl>
    <w:p>
      <w:pPr>
        <w:pStyle w:val="Heading3"/>
      </w:pPr>
      <w:r>
        <w:t>Résumé :</w:t>
      </w:r>
    </w:p>
    <w:p>
      <w:r>
        <w:t>Le coefficient maximal de surtension engendrée par la commutation des batteries de condensateur pendant les processus de compensation réactives, peut être réduit, par un choix adéquat des paramètres du système .Il atteint sa valeur maximale Km=1 indépendamment des conditions et des états du régime, pourvu que les fréquences des pulsations libres et forcées soient égales, wo*=1.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