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et controle de l'impact des manoeuvres des batteries de compensation sur les surtensions et les surintensites transitoires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Labar  Hocine/ Chetate  M.b./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bibliogr.p.p.95-98.Résumé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 puissance réactive/ les hypothèses/ la compensation/ </w:t>
            </w:r>
          </w:p>
        </w:tc>
      </w:tr>
    </w:tbl>
    <w:p>
      <w:pPr>
        <w:pStyle w:val="Heading3"/>
      </w:pPr>
      <w:r>
        <w:t>Résumé :</w:t>
      </w:r>
    </w:p>
    <w:p>
      <w:r>
        <w:t>Les questions relatives à la notion de la puissance réactive doivent être traitée conformément à l'approche proposée, dans laquelle cette grandeur est considérée comme un des plusieurs paramètres d'identification des processus compexes que sont les interactions électromagnétiques dans les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