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Observateurs et commande vectorielle d'une machine asynchrone.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Rais; Toufik/ Bebbache, N.e./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bibliogr.f.f.98-100. Résumé :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commande vectorielle/ machines asynchrone/ résistance rotorique/ </w:t>
            </w:r>
          </w:p>
        </w:tc>
      </w:tr>
    </w:tbl>
    <w:p>
      <w:pPr>
        <w:pStyle w:val="Heading3"/>
      </w:pPr>
      <w:r>
        <w:t>Résumé :</w:t>
      </w:r>
    </w:p>
    <w:p>
      <w:r>
        <w:t>La complexité de la commande vectorielle des machines asynchrones à cage d'écureuil provient de grand nombre de grandeurs non mesurables et variables (resistance rotorique) d'une part et du couplage entre le flux et le couple d'autre  part.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