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des propriétés spectroscopiques de matériaux lasers (CdF2, SrF2) dopés aux ions</w:t>
        <w:br/>
        <w:br/>
        <w:t xml:space="preserve"> de terres rares (Er3+, Yb3+)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Djellab; Sihem/ Universite Badji Mokhter/ Diaf, Madjid/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Erbium,/ Ytterbium/ fluorure de cadmium/ fluorure de strontium/ </w:t>
            </w:r>
          </w:p>
        </w:tc>
      </w:tr>
    </w:tbl>
    <w:p>
      <w:pPr>
        <w:pStyle w:val="Heading3"/>
      </w:pPr>
      <w:r>
        <w:t>Résumé :</w:t>
      </w:r>
    </w:p>
    <w:p>
      <w:r>
        <w:t>Les cristaux de fluorure de cadmium (CdF2) dopés par le fluorure d'Erbium ErF3 et co-dopés par le fluorure d'Ytterbium YbF3 ont été élaborés en utilisant la méthode de Bridgman verticale. Le cristal de fluorure de strontium (SrF2) dopé par ErF3 a été obtenu en utilisant la même technique, après purification des produits de départ. Nos échantillons ont une bonne qualité optique.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