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Interprétation du spectre primaire des électrons cosmiques de très haute 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Rafik/ Universite Badji Mokhter/ Attallah, Réda/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Physique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Cosmic-ray electron/ Pulsar SNRs/ GALPROP/ Monte Carlo Simulation/ </w:t>
            </w:r>
          </w:p>
        </w:tc>
      </w:tr>
    </w:tbl>
    <w:p>
      <w:pPr>
        <w:pStyle w:val="Heading3"/>
      </w:pPr>
      <w:r>
        <w:t>Résumé :</w:t>
      </w:r>
    </w:p>
    <w:p>
      <w:r>
        <w:t>De nombreuses expériences étudiant les rayons cosmiques ont récemment révélé l'existence de quelques anomalies dans le spectre d'énergie des électrons. En effet, des expériences à bord de satellites (PAMELA, Fermi-LAT et AMS-02) ont montré que la fraction de positrons cosmiques augmente au-delà de 10 GeV, tandis que des expériences à bord de ballons stratosphériques (ATIC, PPB-BETS et ECC) ont dévoilé un pic dans le spectre total d'énergie aux alentours de quelques centaines de GeV. Ces résultats remarquables sont contraires aux prévisions des modèles traditionnels basés sur l'hypothèse que les positrons sont uniquement d'origine secondaire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