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étude du composé quaternaire CuInGaSe2 destiné à la fabrication des 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Kouhlane, Yacine/ Universite Badji Mokhter/ Chibani, Allaoua/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CuIn1-xGaxSe2/ Structure chalcopyrite/ Fusion directe/ Evaporation/ </w:t>
            </w:r>
          </w:p>
        </w:tc>
      </w:tr>
    </w:tbl>
    <w:p>
      <w:pPr>
        <w:pStyle w:val="Heading3"/>
      </w:pPr>
      <w:r>
        <w:t>Résumé :</w:t>
      </w:r>
    </w:p>
    <w:p>
      <w:r>
        <w:t xml:space="preserve">Les composés CIGS (CuInGaSe2) sont actuellement les matériaux les plus performants sur le marché du photovoltaïque. </w:t>
        <w:br/>
        <w:br/>
        <w:t>A ce titre, dans ce travail, une comparaison entre les différentes approches d'élaboration du CIGS, ont permis de comprendre les différentes phases que traversent le composé avant d'atteindre la phase chalcopyrite voulue, et de déterminer la technique la plus adaptée à la réalisation du quaternaire. Après plusieurs modifications sur le cycle thermique de croissance du CIGS, on aboutit aux paramètres d'élaboration optimums.  Les échantillons de CuIn1-xGaxSe2 (CIGS) avec des proportions de x = 0,2 et 0,5 élaborés se présentent avec une bonne 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