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Precessus d'aimanatation dans les matériaux doux à base de fer_représentation des pertes en régime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Mansri; Abdelmalek/ Universite -Badji Mokhter/ Soltani, Mohamed Larbi/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Ferromagnétisme/ Matériaux magnétiques doux/ hystérésis/ pertes/ fluxmètre/ </w:t>
            </w:r>
          </w:p>
        </w:tc>
      </w:tr>
    </w:tbl>
    <w:p>
      <w:pPr>
        <w:pStyle w:val="Heading3"/>
      </w:pPr>
      <w:r>
        <w:t>Résumé :</w:t>
      </w:r>
    </w:p>
    <w:p>
      <w:r>
        <w:t>Dans ce travail, nous avons étudié les processus magnétiques siégeant dans lematériaux ferromagnétiques à base de fer. Le dépouillement des cycles d’hystérésis a étéréalisé pour trois types d’échantillons ( FeSi à grains orientés à haute induction et hauteperméabilité, amorphe et nanocristallisé à faibles pertes) à différentes inductions de travailBmax et à différentes fréquences de travail. Ainsi, nous avons tenté de qualifier nosmatériaux en fonction de leur utilisation ndustrielle, soit à basse fréquence (fer-siliciumorienté et amorphe), à moyenne fréquence (amorphe FeBSi) et à haute et très haute fréquence(FeSiBNbCu nanocristallin). Les résultats montrent que ces matériaux présentent chacun dansson domaine ’utilisation de bonnes propriétés de pertes et de perméabilité. D’une part, lescourants de Foucault, véritable problème croissent avec la fréquence mais sont plus faiblespour les amorphes et les nanocristallins. D’autre part la chute de coercivité est réalisée du faitde l’anisotropie uniaxiale.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