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Contribution à l'étude mécano-fiabiliste des câbles de précontrainte des ouvrages d'art, application au contrôle par émission acoustique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Djeddi; Lamine/ Universite BadjiMokhter/ Khelif, Rabia/ </w:t>
            </w:r>
          </w:p>
        </w:tc>
      </w:tr>
      <w:tr>
        <w:trPr>
          <w:trHeight w:val="567"/>
        </w:trPr>
        <w:tc>
          <w:tcPr>
            <w:tcW w:type="dxa" w:w="3000"/>
          </w:tcPr>
          <w:p>
            <w:r>
              <w:t>Nombre de Pages</w:t>
            </w:r>
          </w:p>
        </w:tc>
        <w:tc>
          <w:tcPr>
            <w:tcW w:type="dxa" w:w="7000"/>
          </w:tcPr>
          <w:p>
            <w:r>
              <w:t>179 f.</w:t>
            </w:r>
          </w:p>
        </w:tc>
      </w:tr>
      <w:tr>
        <w:trPr>
          <w:trHeight w:val="567"/>
        </w:trPr>
        <w:tc>
          <w:tcPr>
            <w:tcW w:type="dxa" w:w="3000"/>
          </w:tcPr>
          <w:p>
            <w:r>
              <w:t>Illustration</w:t>
            </w:r>
          </w:p>
        </w:tc>
        <w:tc>
          <w:tcPr>
            <w:tcW w:type="dxa" w:w="7000"/>
          </w:tcPr>
          <w:p>
            <w:r>
              <w:t>tab.,fig.</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Bibliogr. Résumé en francais, anglais et arabe</w:t>
            </w:r>
          </w:p>
        </w:tc>
      </w:tr>
      <w:tr>
        <w:trPr>
          <w:trHeight w:val="567"/>
        </w:trPr>
        <w:tc>
          <w:tcPr>
            <w:tcW w:type="dxa" w:w="3000"/>
          </w:tcPr>
          <w:p>
            <w:r>
              <w:t>Diplôme</w:t>
            </w:r>
          </w:p>
        </w:tc>
        <w:tc>
          <w:tcPr>
            <w:tcW w:type="dxa" w:w="7000"/>
          </w:tcPr>
          <w:p>
            <w:r>
              <w:t>Doctorat</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2013</w:t>
            </w:r>
          </w:p>
        </w:tc>
      </w:tr>
      <w:tr>
        <w:trPr>
          <w:trHeight w:val="567"/>
        </w:trPr>
        <w:tc>
          <w:tcPr>
            <w:tcW w:type="dxa" w:w="3000"/>
          </w:tcPr>
          <w:p>
            <w:r>
              <w:t>Sujet(s)</w:t>
            </w:r>
          </w:p>
        </w:tc>
        <w:tc>
          <w:tcPr>
            <w:tcW w:type="dxa" w:w="7000"/>
          </w:tcPr>
          <w:p>
            <w:r>
              <w:t xml:space="preserve">béton précontraint/ modèle mécanique/ modèle probabiliste/ variables aléatoires/ </w:t>
            </w:r>
          </w:p>
        </w:tc>
      </w:tr>
    </w:tbl>
    <w:p>
      <w:pPr>
        <w:pStyle w:val="Heading3"/>
      </w:pPr>
      <w:r>
        <w:t>Résumé :</w:t>
      </w:r>
    </w:p>
    <w:p>
      <w:r>
        <w:t>Notre étude a porté sur la dégradation des ouvrages d'art en béton précontraint par les agents agressifs de type chlorures. Après une période d'incubation, où les ions Cl- progressent sans signes extérieurs apparents dans les pores du béton, la couche qui protège les câbles disparaît lors de l'amorçage de la corrosion, puis, une perte des sections des armatures se produit d'une manière localisée. Enfin, la rupture des câbles se produit menaçant la sécurité de structurelle de l'ouvrage d'art</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