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des propriétes absorbantes des charbons activés issus des noyaux de dattes .application au traitement d'effuent  aqueux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Sekirifa; Mohamed Lamine/ Univrsite Badji Mokhter/ Mahfoud, Hadj_mohammed/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 , tabl 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Bibliogr.-Résumé en francais,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adsorption/ charbon actif/ noyaux de dates/ pyrolyse/ activation, surface spécifique/ </w:t>
            </w:r>
          </w:p>
        </w:tc>
      </w:tr>
    </w:tbl>
    <w:p>
      <w:pPr>
        <w:pStyle w:val="Heading3"/>
      </w:pPr>
      <w:r>
        <w:t>Résumé :</w:t>
      </w:r>
    </w:p>
    <w:p>
      <w:r>
        <w:t>Deux varietes de dates ont ete utilisees dans ce travail pour la preparation des charbons actives : Deglet-Nour (DN) et Ghars (G). Les procedures impliquees dans cette etude sont comme suit :h La preparation du precurseur par pyrolyse suivie d،¦une etape d،¦activation physique par le dioxyde de carbone.h Caracterisation des produits de pyrolyse par les methodes analytiques de routine a savoir : Analyse elementaire, Surface specifique, Microscopie a balayage electronique et la spectroscopie infra rouge (FTIR).„h Realisation d،¦une etude comparative basee sur l،¦adsorption du 4-Chlorophenol (substrat test) sur le charbon active et commercial (TE 80).Nous avons ensuite mis en evidence l،¦influence des parametres operatoires a savoir la temperature de pyrolyse, d،¦activation, du temps et du debit de gaz vecteur sur les caracteristiques de produits final.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