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problématique du développement durable d'une ville minére ouenza , une ville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Guendouze; Berrahali/ Universite Badji Mokhter/ Guessoum, Djamel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agglomération/ activité minière/ villes minières/ </w:t>
            </w:r>
          </w:p>
        </w:tc>
      </w:tr>
    </w:tbl>
    <w:p>
      <w:pPr>
        <w:pStyle w:val="Heading3"/>
      </w:pPr>
      <w:r>
        <w:t>Résumé :</w:t>
      </w:r>
    </w:p>
    <w:p>
      <w:r>
        <w:t>L'installation de l'activité minière donne souvent naissance à une agglomération qui suite à l'essor devient une véritable ville avec son administration, ces centres de  commerce, et ses équipements de services. Cette ville apparaît souvent comme une entité étrangère à son milieu.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