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procédés de synthése énantiosélective d'alcools biologiquement actifs par catyse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Houiene; Zahia/ Universite Badji Mokhter/ Aribi_ zouioueche, Louiza/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dédoublement cinétique enzymatique/ lipases/ arylalkyléthanol/ alcool allylique/ déracémisation/ stéréoinversion/ </w:t>
            </w:r>
          </w:p>
        </w:tc>
      </w:tr>
    </w:tbl>
    <w:p>
      <w:pPr>
        <w:pStyle w:val="Heading3"/>
      </w:pPr>
      <w:r>
        <w:t>Résumé :</w:t>
      </w:r>
    </w:p>
    <w:p>
      <w:r>
        <w:t>Dans ce travail de thèse, nous nous sommes intéressés à la résolution cinétique enzymatique d'esters et alcools racémiques, d'intérêt potentiel, afin de parvenir aux molécules optiquement pures ou enrichies. Pour ce faire, nous avons utilisés deux réactions complémentaires, à savoir, la réaction de transetérification et d'hydrolyse enzymatique. Les substrats objet de ce travail sont d'une part, une série d'acétates benzyliques chiraux de type arylalkylcarbinols, et d'autre part, un alcool allylique secondaire, le 3-méthyl-2-cyclohexèn-1-ol, une phéromone d'insecte.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