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Impoct d'un régulateur de croissance des insectes novaluron sur culex pipiens , aspects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Djeghader; Nour el _houda/ Universite Badji Mokhter/ Boudjelida, Hamid/ </w:t>
            </w:r>
          </w:p>
        </w:tc>
      </w:tr>
      <w:tr>
        <w:trPr>
          <w:trHeight w:val="567"/>
        </w:trPr>
        <w:tc>
          <w:tcPr>
            <w:tcW w:type="dxa" w:w="3000"/>
          </w:tcPr>
          <w:p>
            <w:r>
              <w:t>Nombre de Pages</w:t>
            </w:r>
          </w:p>
        </w:tc>
        <w:tc>
          <w:tcPr>
            <w:tcW w:type="dxa" w:w="7000"/>
          </w:tcPr>
          <w:p>
            <w:r>
              <w:t>455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régulateur de croissance des insectes/ nuisants/ vecteurs de maladies/ </w:t>
            </w:r>
          </w:p>
        </w:tc>
      </w:tr>
    </w:tbl>
    <w:p>
      <w:pPr>
        <w:pStyle w:val="Heading3"/>
      </w:pPr>
      <w:r>
        <w:t>Résumé :</w:t>
      </w:r>
    </w:p>
    <w:p>
      <w:r>
        <w:t>Les moustiques sont des agents nuisants et des vecteurs de nombreuses maladies humaines et animales. La lutte contre ces insectes hématophages dépend de l'utilisation d'insecticides chimiques ciblant les adultes ou les larves. Cependant, des phénomènes de pollution et de résistance à différentes classes d'insecticides chimiques, menacent aujourd'hui l'environnement en général et l'homme en particulier. Dans ce contexte, il est nécessaire de proposer de nouvelles alternatives non polluantes et spécifiques comme les régulateurs de croissance ou Insect Growth Regulators(I.G.Rs). Dans la présente étude, l'effet du novaluron; un régulateur de croissance des insectes appartenant à la classe des inhibiteurs de la synthèse de la chitine et à la famille des benzoylphénylurées; a été testé sur plusieurs aspects chez une espèce de moustique à intérêt médical notamment le Culex pipiens. Les Essaies toxicologiques ont été réalisé avec différentes concentrations du produit testé, comprise entre 0,1 et 0,9 (g/l), sur des larves de 3ème et 4ème stade, afin d'évaluer les deux concentrations létales CL50 et CL90. Qui a leurs tour font l'objet d'une étude sur le développement, la composition biochimique, le profil hormonal, la structure cuticulaire et le potentiel de la reproduction de l'espèce de moustique choisie dans ce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